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21970">
      <w:pPr>
        <w:spacing w:line="360" w:lineRule="auto"/>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福建医科大学附属协和医院铅屏风、铅衣消毒柜及铅衣平铺柜采购货物清单及相关参数</w:t>
      </w:r>
    </w:p>
    <w:p w14:paraId="65E27802">
      <w:pPr>
        <w:spacing w:line="360" w:lineRule="auto"/>
        <w:jc w:val="both"/>
        <w:rPr>
          <w:rFonts w:hint="eastAsia"/>
          <w:sz w:val="24"/>
          <w:szCs w:val="24"/>
          <w:lang w:val="en-US" w:eastAsia="zh-CN"/>
        </w:rPr>
      </w:pPr>
      <w:r>
        <w:rPr>
          <w:rFonts w:hint="eastAsia"/>
          <w:sz w:val="24"/>
          <w:szCs w:val="24"/>
          <w:lang w:val="en-US" w:eastAsia="zh-CN"/>
        </w:rPr>
        <w:t>一、项目概况：</w:t>
      </w:r>
    </w:p>
    <w:p w14:paraId="5948E14F">
      <w:pPr>
        <w:spacing w:line="360" w:lineRule="auto"/>
        <w:ind w:firstLine="420"/>
        <w:jc w:val="both"/>
        <w:rPr>
          <w:rFonts w:hint="eastAsia"/>
          <w:sz w:val="24"/>
          <w:szCs w:val="24"/>
          <w:lang w:val="en-US" w:eastAsia="zh-CN"/>
        </w:rPr>
      </w:pPr>
      <w:r>
        <w:rPr>
          <w:rFonts w:hint="eastAsia"/>
          <w:sz w:val="24"/>
          <w:szCs w:val="24"/>
          <w:lang w:val="en-US" w:eastAsia="zh-CN"/>
        </w:rPr>
        <w:t>1、本次采购项目为铅屏风、铅衣消毒柜及铅衣平铺柜采购项目</w:t>
      </w:r>
    </w:p>
    <w:p w14:paraId="7F9F2BEE">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sz w:val="24"/>
          <w:szCs w:val="24"/>
          <w:lang w:val="en-US" w:eastAsia="zh-CN"/>
        </w:rPr>
        <w:t>2、服务期：</w:t>
      </w:r>
      <w:r>
        <w:rPr>
          <w:rFonts w:hint="eastAsia" w:ascii="宋体" w:hAnsi="宋体" w:eastAsia="宋体" w:cs="宋体"/>
          <w:sz w:val="24"/>
          <w:szCs w:val="24"/>
          <w:lang w:val="en-US" w:eastAsia="zh-CN"/>
        </w:rPr>
        <w:t>合同签订后3天内开始供货，15天内供货完成。</w:t>
      </w:r>
    </w:p>
    <w:p w14:paraId="1B1AE2E0">
      <w:pPr>
        <w:numPr>
          <w:ilvl w:val="0"/>
          <w:numId w:val="0"/>
        </w:numPr>
        <w:spacing w:line="360" w:lineRule="auto"/>
        <w:ind w:leftChars="0"/>
        <w:jc w:val="both"/>
        <w:rPr>
          <w:rFonts w:hint="eastAsia"/>
          <w:sz w:val="24"/>
          <w:szCs w:val="24"/>
          <w:lang w:val="en-US" w:eastAsia="zh-CN"/>
        </w:rPr>
      </w:pPr>
      <w:r>
        <w:rPr>
          <w:rFonts w:hint="eastAsia"/>
          <w:sz w:val="24"/>
          <w:szCs w:val="24"/>
          <w:lang w:val="en-US" w:eastAsia="zh-CN"/>
        </w:rPr>
        <w:t>二、技术服务和要求</w:t>
      </w:r>
    </w:p>
    <w:p w14:paraId="47761747">
      <w:pPr>
        <w:numPr>
          <w:ilvl w:val="0"/>
          <w:numId w:val="0"/>
        </w:numPr>
        <w:spacing w:line="360" w:lineRule="auto"/>
        <w:ind w:leftChars="0"/>
        <w:jc w:val="both"/>
        <w:rPr>
          <w:rFonts w:hint="eastAsia"/>
          <w:sz w:val="24"/>
          <w:szCs w:val="24"/>
          <w:lang w:val="en-US" w:eastAsia="zh-CN"/>
        </w:rPr>
      </w:pPr>
      <w:r>
        <w:rPr>
          <w:rFonts w:hint="eastAsia"/>
          <w:sz w:val="24"/>
          <w:szCs w:val="24"/>
          <w:lang w:val="en-US" w:eastAsia="zh-CN"/>
        </w:rPr>
        <w:t>2.1、采购清单及规格参数：</w:t>
      </w:r>
    </w:p>
    <w:p w14:paraId="28F336FB">
      <w:pPr>
        <w:pStyle w:val="7"/>
        <w:jc w:val="left"/>
        <w:rPr>
          <w:rFonts w:hint="default"/>
          <w:lang w:val="en-US" w:eastAsia="zh-CN"/>
        </w:rPr>
      </w:pPr>
      <w:r>
        <w:rPr>
          <w:rFonts w:hint="eastAsia"/>
          <w:sz w:val="24"/>
          <w:szCs w:val="24"/>
          <w:lang w:val="en-US" w:eastAsia="zh-CN"/>
        </w:rPr>
        <w:t>本项目最高限价为30万元</w:t>
      </w:r>
    </w:p>
    <w:tbl>
      <w:tblPr>
        <w:tblStyle w:val="9"/>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462"/>
        <w:gridCol w:w="3506"/>
        <w:gridCol w:w="713"/>
        <w:gridCol w:w="725"/>
        <w:gridCol w:w="962"/>
        <w:gridCol w:w="1217"/>
      </w:tblGrid>
      <w:tr w14:paraId="45B8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shd w:val="clear" w:color="000000" w:fill="FFFFFF"/>
            <w:vAlign w:val="center"/>
          </w:tcPr>
          <w:p w14:paraId="09DD41AE">
            <w:pPr>
              <w:jc w:val="center"/>
              <w:rPr>
                <w:rFonts w:ascii="宋体" w:hAnsi="宋体"/>
                <w:szCs w:val="21"/>
              </w:rPr>
            </w:pPr>
            <w:r>
              <w:rPr>
                <w:rFonts w:hint="eastAsia" w:ascii="宋体" w:hAnsi="宋体" w:cs="宋体"/>
                <w:color w:val="000000"/>
                <w:szCs w:val="21"/>
              </w:rPr>
              <w:t>序号</w:t>
            </w:r>
          </w:p>
        </w:tc>
        <w:tc>
          <w:tcPr>
            <w:tcW w:w="1462" w:type="dxa"/>
            <w:shd w:val="clear" w:color="000000" w:fill="FFFFFF"/>
            <w:vAlign w:val="center"/>
          </w:tcPr>
          <w:p w14:paraId="589D6B95">
            <w:pPr>
              <w:jc w:val="center"/>
              <w:rPr>
                <w:rFonts w:ascii="宋体" w:hAnsi="宋体"/>
                <w:szCs w:val="21"/>
              </w:rPr>
            </w:pPr>
            <w:r>
              <w:rPr>
                <w:rFonts w:hint="eastAsia" w:ascii="宋体" w:hAnsi="宋体" w:cs="宋体"/>
                <w:color w:val="000000"/>
                <w:szCs w:val="21"/>
              </w:rPr>
              <w:t>项</w:t>
            </w:r>
            <w:r>
              <w:rPr>
                <w:rFonts w:ascii="宋体" w:hAnsi="宋体" w:cs="宋体"/>
                <w:color w:val="000000"/>
                <w:szCs w:val="21"/>
              </w:rPr>
              <w:t xml:space="preserve"> </w:t>
            </w:r>
            <w:r>
              <w:rPr>
                <w:rFonts w:hint="eastAsia" w:ascii="宋体" w:hAnsi="宋体" w:cs="宋体"/>
                <w:color w:val="000000"/>
                <w:szCs w:val="21"/>
              </w:rPr>
              <w:t>目</w:t>
            </w:r>
            <w:r>
              <w:rPr>
                <w:rFonts w:ascii="宋体" w:hAnsi="宋体" w:cs="宋体"/>
                <w:color w:val="000000"/>
                <w:szCs w:val="21"/>
              </w:rPr>
              <w:t xml:space="preserve"> </w:t>
            </w:r>
            <w:r>
              <w:rPr>
                <w:rFonts w:hint="eastAsia" w:ascii="宋体" w:hAnsi="宋体" w:cs="宋体"/>
                <w:color w:val="000000"/>
                <w:szCs w:val="21"/>
              </w:rPr>
              <w:t>名</w:t>
            </w:r>
            <w:r>
              <w:rPr>
                <w:rFonts w:ascii="宋体" w:hAnsi="宋体" w:cs="宋体"/>
                <w:color w:val="000000"/>
                <w:szCs w:val="21"/>
              </w:rPr>
              <w:t xml:space="preserve"> </w:t>
            </w:r>
            <w:r>
              <w:rPr>
                <w:rFonts w:hint="eastAsia" w:ascii="宋体" w:hAnsi="宋体" w:cs="宋体"/>
                <w:color w:val="000000"/>
                <w:szCs w:val="21"/>
              </w:rPr>
              <w:t>称</w:t>
            </w:r>
          </w:p>
        </w:tc>
        <w:tc>
          <w:tcPr>
            <w:tcW w:w="3506" w:type="dxa"/>
            <w:shd w:val="clear" w:color="000000" w:fill="FFFFFF"/>
            <w:vAlign w:val="center"/>
          </w:tcPr>
          <w:p w14:paraId="1A9C81CC">
            <w:pPr>
              <w:jc w:val="center"/>
              <w:rPr>
                <w:rFonts w:ascii="宋体" w:hAnsi="宋体"/>
                <w:szCs w:val="21"/>
              </w:rPr>
            </w:pPr>
            <w:r>
              <w:rPr>
                <w:rFonts w:hint="eastAsia" w:ascii="宋体" w:cs="宋体"/>
                <w:szCs w:val="21"/>
              </w:rPr>
              <w:t>规格和参数</w:t>
            </w:r>
          </w:p>
        </w:tc>
        <w:tc>
          <w:tcPr>
            <w:tcW w:w="713" w:type="dxa"/>
            <w:shd w:val="clear" w:color="000000" w:fill="FFFFFF"/>
            <w:vAlign w:val="center"/>
          </w:tcPr>
          <w:p w14:paraId="7744A0C1">
            <w:pPr>
              <w:jc w:val="center"/>
              <w:rPr>
                <w:rFonts w:ascii="宋体" w:hAnsi="宋体"/>
                <w:szCs w:val="21"/>
              </w:rPr>
            </w:pPr>
            <w:r>
              <w:rPr>
                <w:rFonts w:hint="eastAsia" w:ascii="宋体" w:hAnsi="宋体" w:cs="宋体"/>
                <w:color w:val="000000"/>
                <w:szCs w:val="21"/>
              </w:rPr>
              <w:t>计量单位</w:t>
            </w:r>
          </w:p>
        </w:tc>
        <w:tc>
          <w:tcPr>
            <w:tcW w:w="725" w:type="dxa"/>
            <w:shd w:val="clear" w:color="000000" w:fill="FFFFFF"/>
            <w:vAlign w:val="center"/>
          </w:tcPr>
          <w:p w14:paraId="2B4118E2">
            <w:pPr>
              <w:jc w:val="center"/>
              <w:rPr>
                <w:rFonts w:hint="default" w:ascii="宋体" w:hAnsi="宋体" w:eastAsiaTheme="minorEastAsia"/>
                <w:szCs w:val="21"/>
                <w:lang w:val="en-US" w:eastAsia="zh-CN"/>
              </w:rPr>
            </w:pPr>
            <w:r>
              <w:rPr>
                <w:rFonts w:hint="eastAsia" w:ascii="宋体" w:hAnsi="宋体"/>
                <w:szCs w:val="21"/>
                <w:lang w:val="en-US" w:eastAsia="zh-CN"/>
              </w:rPr>
              <w:t>品牌</w:t>
            </w:r>
          </w:p>
        </w:tc>
        <w:tc>
          <w:tcPr>
            <w:tcW w:w="962" w:type="dxa"/>
            <w:shd w:val="clear" w:color="000000" w:fill="FFFFFF"/>
            <w:vAlign w:val="center"/>
          </w:tcPr>
          <w:p w14:paraId="1C8B3CF1">
            <w:pPr>
              <w:jc w:val="center"/>
              <w:rPr>
                <w:rFonts w:ascii="宋体" w:hAnsi="宋体"/>
                <w:szCs w:val="21"/>
              </w:rPr>
            </w:pPr>
            <w:r>
              <w:rPr>
                <w:rFonts w:hint="eastAsia" w:ascii="宋体" w:hAnsi="宋体" w:cs="宋体"/>
                <w:color w:val="000000"/>
                <w:szCs w:val="21"/>
              </w:rPr>
              <w:t>单价</w:t>
            </w:r>
          </w:p>
        </w:tc>
        <w:tc>
          <w:tcPr>
            <w:tcW w:w="1217" w:type="dxa"/>
            <w:shd w:val="clear" w:color="000000" w:fill="FFFFFF"/>
            <w:vAlign w:val="center"/>
          </w:tcPr>
          <w:p w14:paraId="306DF31D">
            <w:pPr>
              <w:tabs>
                <w:tab w:val="left" w:pos="7358"/>
                <w:tab w:val="left" w:pos="7745"/>
              </w:tabs>
              <w:jc w:val="center"/>
              <w:rPr>
                <w:rFonts w:ascii="宋体" w:hAnsi="宋体"/>
                <w:szCs w:val="21"/>
              </w:rPr>
            </w:pPr>
            <w:r>
              <w:rPr>
                <w:rFonts w:hint="eastAsia" w:ascii="宋体" w:hAnsi="宋体" w:cs="宋体"/>
                <w:color w:val="000000"/>
                <w:szCs w:val="21"/>
              </w:rPr>
              <w:t>合价</w:t>
            </w:r>
          </w:p>
        </w:tc>
      </w:tr>
      <w:tr w14:paraId="4D09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361F082B">
            <w:r>
              <w:rPr>
                <w:rFonts w:hint="eastAsia"/>
              </w:rPr>
              <w:t>1</w:t>
            </w:r>
          </w:p>
        </w:tc>
        <w:tc>
          <w:tcPr>
            <w:tcW w:w="1462" w:type="dxa"/>
          </w:tcPr>
          <w:p w14:paraId="6EFA671C">
            <w:r>
              <w:rPr>
                <w:rFonts w:hint="eastAsia"/>
              </w:rPr>
              <w:t>铅衣消毒柜</w:t>
            </w:r>
          </w:p>
        </w:tc>
        <w:tc>
          <w:tcPr>
            <w:tcW w:w="3506" w:type="dxa"/>
          </w:tcPr>
          <w:p w14:paraId="3E26C385">
            <w:pPr>
              <w:pStyle w:val="3"/>
              <w:kinsoku w:val="0"/>
              <w:overflowPunct w:val="0"/>
              <w:ind w:right="44" w:rightChars="21"/>
              <w:jc w:val="left"/>
              <w:outlineLvl w:val="0"/>
              <w:rPr>
                <w:rFonts w:hint="default" w:ascii="宋体" w:hAnsi="宋体" w:eastAsia="宋体" w:cs="宋体"/>
                <w:b w:val="0"/>
                <w:bCs/>
                <w:sz w:val="21"/>
                <w:szCs w:val="21"/>
              </w:rPr>
            </w:pPr>
            <w:r>
              <w:rPr>
                <w:rFonts w:ascii="宋体" w:hAnsi="宋体" w:eastAsia="宋体" w:cs="宋体"/>
                <w:b w:val="0"/>
                <w:bCs/>
                <w:color w:val="000000"/>
                <w:spacing w:val="20"/>
                <w:sz w:val="21"/>
                <w:szCs w:val="21"/>
              </w:rPr>
              <w:t>110*80*183</w:t>
            </w:r>
            <w:r>
              <w:rPr>
                <w:rFonts w:hint="eastAsia" w:ascii="宋体" w:hAnsi="宋体" w:eastAsia="宋体" w:cs="宋体"/>
                <w:b w:val="0"/>
                <w:bCs/>
                <w:color w:val="000000"/>
                <w:spacing w:val="20"/>
                <w:sz w:val="21"/>
                <w:szCs w:val="21"/>
                <w:lang w:val="en-US" w:eastAsia="zh-CN"/>
              </w:rPr>
              <w:t>外尺寸</w:t>
            </w:r>
            <w:r>
              <w:rPr>
                <w:rFonts w:ascii="宋体" w:hAnsi="宋体" w:eastAsia="宋体" w:cs="宋体"/>
                <w:b w:val="0"/>
                <w:bCs/>
                <w:color w:val="000000"/>
                <w:spacing w:val="20"/>
                <w:sz w:val="21"/>
                <w:szCs w:val="21"/>
              </w:rPr>
              <w:t>寸110*65*142内尺寸，臭 氧、紫外线，</w:t>
            </w:r>
            <w:bookmarkStart w:id="0" w:name="_Toc987"/>
            <w:bookmarkStart w:id="1" w:name="_Toc2202"/>
            <w:r>
              <w:rPr>
                <w:rFonts w:ascii="宋体" w:hAnsi="宋体" w:eastAsia="宋体" w:cs="宋体"/>
                <w:b w:val="0"/>
                <w:bCs/>
                <w:sz w:val="21"/>
                <w:szCs w:val="21"/>
              </w:rPr>
              <w:t>内部参数种类及调节范围</w:t>
            </w:r>
            <w:bookmarkEnd w:id="0"/>
            <w:bookmarkEnd w:id="1"/>
            <w:r>
              <w:rPr>
                <w:rFonts w:ascii="宋体" w:hAnsi="宋体" w:eastAsia="宋体" w:cs="宋体"/>
                <w:b w:val="0"/>
                <w:bCs/>
                <w:sz w:val="21"/>
                <w:szCs w:val="21"/>
              </w:rPr>
              <w:t>;</w:t>
            </w:r>
          </w:p>
          <w:p w14:paraId="03FA822D">
            <w:pPr>
              <w:snapToGrid w:val="0"/>
              <w:ind w:right="44" w:rightChars="21"/>
              <w:rPr>
                <w:rFonts w:ascii="宋体" w:hAnsi="宋体" w:eastAsia="宋体" w:cs="宋体"/>
                <w:bCs/>
                <w:szCs w:val="21"/>
              </w:rPr>
            </w:pPr>
            <w:r>
              <w:rPr>
                <w:rFonts w:hint="eastAsia" w:ascii="宋体" w:hAnsi="宋体" w:eastAsia="宋体" w:cs="宋体"/>
                <w:bCs/>
                <w:szCs w:val="21"/>
              </w:rPr>
              <w:t>1.烘干温度：室温-45℃。</w:t>
            </w:r>
          </w:p>
          <w:p w14:paraId="7A9FEC84">
            <w:pPr>
              <w:snapToGrid w:val="0"/>
              <w:ind w:right="44" w:rightChars="21"/>
              <w:rPr>
                <w:rFonts w:ascii="宋体" w:hAnsi="宋体" w:eastAsia="宋体" w:cs="宋体"/>
                <w:bCs/>
                <w:szCs w:val="21"/>
              </w:rPr>
            </w:pPr>
            <w:r>
              <w:rPr>
                <w:rFonts w:hint="eastAsia" w:ascii="宋体" w:hAnsi="宋体" w:eastAsia="宋体" w:cs="宋体"/>
                <w:bCs/>
                <w:szCs w:val="21"/>
              </w:rPr>
              <w:t>3.消毒时间：1-120分钟。</w:t>
            </w:r>
          </w:p>
          <w:p w14:paraId="114A7592">
            <w:pPr>
              <w:snapToGrid w:val="0"/>
              <w:ind w:right="44" w:rightChars="21"/>
            </w:pPr>
            <w:r>
              <w:rPr>
                <w:rFonts w:hint="eastAsia" w:ascii="宋体" w:hAnsi="宋体" w:eastAsia="宋体" w:cs="宋体"/>
                <w:bCs/>
                <w:szCs w:val="21"/>
              </w:rPr>
              <w:t>4.臭氧浓度范围：20-40ppm。</w:t>
            </w:r>
          </w:p>
        </w:tc>
        <w:tc>
          <w:tcPr>
            <w:tcW w:w="713" w:type="dxa"/>
          </w:tcPr>
          <w:p w14:paraId="57D4B3C4">
            <w:r>
              <w:rPr>
                <w:rFonts w:hint="eastAsia"/>
                <w:lang w:val="en-US" w:eastAsia="zh-CN"/>
              </w:rPr>
              <w:t>1</w:t>
            </w:r>
            <w:r>
              <w:rPr>
                <w:rFonts w:hint="eastAsia"/>
              </w:rPr>
              <w:t>个</w:t>
            </w:r>
          </w:p>
        </w:tc>
        <w:tc>
          <w:tcPr>
            <w:tcW w:w="725" w:type="dxa"/>
          </w:tcPr>
          <w:p w14:paraId="3656FFD6"/>
        </w:tc>
        <w:tc>
          <w:tcPr>
            <w:tcW w:w="962" w:type="dxa"/>
          </w:tcPr>
          <w:p w14:paraId="730042C5"/>
        </w:tc>
        <w:tc>
          <w:tcPr>
            <w:tcW w:w="1217" w:type="dxa"/>
          </w:tcPr>
          <w:p w14:paraId="31AF498D"/>
        </w:tc>
      </w:tr>
      <w:tr w14:paraId="498F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6A813D11">
            <w:r>
              <w:rPr>
                <w:rFonts w:hint="eastAsia"/>
              </w:rPr>
              <w:t>2</w:t>
            </w:r>
          </w:p>
        </w:tc>
        <w:tc>
          <w:tcPr>
            <w:tcW w:w="1462" w:type="dxa"/>
          </w:tcPr>
          <w:p w14:paraId="11B03F86">
            <w:r>
              <w:rPr>
                <w:rFonts w:hint="eastAsia"/>
              </w:rPr>
              <w:t>铅屏风（推拉式）</w:t>
            </w:r>
          </w:p>
        </w:tc>
        <w:tc>
          <w:tcPr>
            <w:tcW w:w="3506" w:type="dxa"/>
          </w:tcPr>
          <w:p w14:paraId="3365CE8D">
            <w:r>
              <w:rPr>
                <w:rFonts w:hint="eastAsia"/>
              </w:rPr>
              <w:t>产品名称：推拉式防护隔断</w:t>
            </w:r>
          </w:p>
          <w:p w14:paraId="6DB8061E">
            <w:r>
              <w:rPr>
                <w:rFonts w:hint="eastAsia"/>
              </w:rPr>
              <w:t>铅当量：</w:t>
            </w:r>
            <w:r>
              <w:rPr>
                <w:rFonts w:hint="eastAsia"/>
                <w:lang w:val="en-US" w:eastAsia="zh-CN"/>
              </w:rPr>
              <w:t>2</w:t>
            </w:r>
            <w:r>
              <w:rPr>
                <w:rFonts w:hint="eastAsia"/>
              </w:rPr>
              <w:t>.0mmpb</w:t>
            </w:r>
          </w:p>
          <w:p w14:paraId="7CC70384">
            <w:r>
              <w:rPr>
                <w:rFonts w:hint="eastAsia"/>
              </w:rPr>
              <w:t>材质：铅板，不锈钢</w:t>
            </w:r>
          </w:p>
          <w:p w14:paraId="61D9C18A">
            <w:r>
              <w:rPr>
                <w:rFonts w:hint="eastAsia"/>
              </w:rPr>
              <w:t>规格：</w:t>
            </w:r>
            <w:r>
              <w:rPr>
                <w:rFonts w:hint="eastAsia"/>
                <w:lang w:val="en-US" w:eastAsia="zh-CN"/>
              </w:rPr>
              <w:t>9</w:t>
            </w:r>
            <w:r>
              <w:rPr>
                <w:rFonts w:hint="eastAsia"/>
              </w:rPr>
              <w:t>00*1800</w:t>
            </w:r>
          </w:p>
        </w:tc>
        <w:tc>
          <w:tcPr>
            <w:tcW w:w="713" w:type="dxa"/>
          </w:tcPr>
          <w:p w14:paraId="4A8F9CE8">
            <w:r>
              <w:rPr>
                <w:rFonts w:hint="eastAsia"/>
                <w:lang w:val="en-US" w:eastAsia="zh-CN"/>
              </w:rPr>
              <w:t>5</w:t>
            </w:r>
            <w:bookmarkStart w:id="2" w:name="_GoBack"/>
            <w:bookmarkEnd w:id="2"/>
            <w:r>
              <w:rPr>
                <w:rFonts w:hint="eastAsia"/>
              </w:rPr>
              <w:t>套</w:t>
            </w:r>
          </w:p>
        </w:tc>
        <w:tc>
          <w:tcPr>
            <w:tcW w:w="725" w:type="dxa"/>
          </w:tcPr>
          <w:p w14:paraId="6F091295"/>
        </w:tc>
        <w:tc>
          <w:tcPr>
            <w:tcW w:w="962" w:type="dxa"/>
          </w:tcPr>
          <w:p w14:paraId="7914F2D3"/>
        </w:tc>
        <w:tc>
          <w:tcPr>
            <w:tcW w:w="1217" w:type="dxa"/>
          </w:tcPr>
          <w:p w14:paraId="2B66B923"/>
        </w:tc>
      </w:tr>
      <w:tr w14:paraId="44CE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42AB8D8C">
            <w:pPr>
              <w:rPr>
                <w:rFonts w:hint="eastAsia"/>
              </w:rPr>
            </w:pPr>
            <w:r>
              <w:rPr>
                <w:rFonts w:hint="eastAsia"/>
              </w:rPr>
              <w:t>3</w:t>
            </w:r>
          </w:p>
        </w:tc>
        <w:tc>
          <w:tcPr>
            <w:tcW w:w="1462" w:type="dxa"/>
          </w:tcPr>
          <w:p w14:paraId="2A8CCA5E">
            <w:pPr>
              <w:rPr>
                <w:rFonts w:hint="eastAsia"/>
              </w:rPr>
            </w:pPr>
            <w:r>
              <w:rPr>
                <w:rFonts w:hint="eastAsia"/>
              </w:rPr>
              <w:t>铅屏风（</w:t>
            </w:r>
            <w:r>
              <w:rPr>
                <w:rFonts w:hint="eastAsia"/>
                <w:lang w:val="en-US" w:eastAsia="zh-CN"/>
              </w:rPr>
              <w:t>抽拉</w:t>
            </w:r>
            <w:r>
              <w:rPr>
                <w:rFonts w:hint="eastAsia"/>
              </w:rPr>
              <w:t>式）</w:t>
            </w:r>
          </w:p>
        </w:tc>
        <w:tc>
          <w:tcPr>
            <w:tcW w:w="3506" w:type="dxa"/>
          </w:tcPr>
          <w:p w14:paraId="6E565EEE">
            <w:r>
              <w:rPr>
                <w:rFonts w:hint="eastAsia"/>
              </w:rPr>
              <w:t>产品名称：</w:t>
            </w:r>
            <w:r>
              <w:rPr>
                <w:rFonts w:hint="eastAsia"/>
                <w:lang w:val="en-US" w:eastAsia="zh-CN"/>
              </w:rPr>
              <w:t>抽拉</w:t>
            </w:r>
            <w:r>
              <w:rPr>
                <w:rFonts w:hint="eastAsia"/>
              </w:rPr>
              <w:t>式防护隔断</w:t>
            </w:r>
          </w:p>
          <w:p w14:paraId="62285FD9">
            <w:r>
              <w:rPr>
                <w:rFonts w:hint="eastAsia"/>
              </w:rPr>
              <w:t>铅当量：</w:t>
            </w:r>
            <w:r>
              <w:rPr>
                <w:rFonts w:hint="eastAsia"/>
                <w:lang w:val="en-US" w:eastAsia="zh-CN"/>
              </w:rPr>
              <w:t>10</w:t>
            </w:r>
            <w:r>
              <w:rPr>
                <w:rFonts w:hint="eastAsia"/>
              </w:rPr>
              <w:t>.0mmpb</w:t>
            </w:r>
          </w:p>
          <w:p w14:paraId="3F4E747C">
            <w:r>
              <w:rPr>
                <w:rFonts w:hint="eastAsia"/>
              </w:rPr>
              <w:t>材质：铅板，不锈钢</w:t>
            </w:r>
          </w:p>
          <w:p w14:paraId="6EE32F45">
            <w:pPr>
              <w:rPr>
                <w:rFonts w:hint="eastAsia"/>
              </w:rPr>
            </w:pPr>
            <w:r>
              <w:rPr>
                <w:rFonts w:hint="eastAsia"/>
              </w:rPr>
              <w:t>规格：2000*1800</w:t>
            </w:r>
          </w:p>
          <w:p w14:paraId="55AFF2EF">
            <w:pPr>
              <w:pStyle w:val="2"/>
              <w:rPr>
                <w:rFonts w:hint="default" w:eastAsia="宋体"/>
                <w:lang w:val="en-US" w:eastAsia="zh-CN"/>
              </w:rPr>
            </w:pPr>
            <w:r>
              <w:rPr>
                <w:rFonts w:hint="eastAsia" w:asciiTheme="minorHAnsi" w:hAnsiTheme="minorHAnsi" w:eastAsiaTheme="minorEastAsia" w:cstheme="minorBidi"/>
                <w:kern w:val="2"/>
                <w:sz w:val="21"/>
                <w:szCs w:val="24"/>
                <w:lang w:val="en-US" w:eastAsia="zh-CN" w:bidi="ar-SA"/>
              </w:rPr>
              <w:t>门体内部使用特制钢制结构，门板采用1.2mm钢板喷涂或热转印木纹技术，屏风防护层采用纯度不小于99.998%的1#电解铅版，底部采用优质轮</w:t>
            </w:r>
          </w:p>
        </w:tc>
        <w:tc>
          <w:tcPr>
            <w:tcW w:w="713" w:type="dxa"/>
          </w:tcPr>
          <w:p w14:paraId="78717069">
            <w:pPr>
              <w:rPr>
                <w:rFonts w:hint="eastAsia"/>
              </w:rPr>
            </w:pPr>
            <w:r>
              <w:rPr>
                <w:rFonts w:hint="eastAsia"/>
                <w:lang w:val="en-US" w:eastAsia="zh-CN"/>
              </w:rPr>
              <w:t>3</w:t>
            </w:r>
            <w:r>
              <w:rPr>
                <w:rFonts w:hint="eastAsia"/>
              </w:rPr>
              <w:t>套</w:t>
            </w:r>
          </w:p>
        </w:tc>
        <w:tc>
          <w:tcPr>
            <w:tcW w:w="725" w:type="dxa"/>
          </w:tcPr>
          <w:p w14:paraId="74CDAF63">
            <w:pPr>
              <w:rPr>
                <w:rFonts w:hint="eastAsia"/>
              </w:rPr>
            </w:pPr>
          </w:p>
        </w:tc>
        <w:tc>
          <w:tcPr>
            <w:tcW w:w="962" w:type="dxa"/>
          </w:tcPr>
          <w:p w14:paraId="5C412A18">
            <w:pPr>
              <w:rPr>
                <w:rFonts w:hint="eastAsia"/>
              </w:rPr>
            </w:pPr>
          </w:p>
        </w:tc>
        <w:tc>
          <w:tcPr>
            <w:tcW w:w="1217" w:type="dxa"/>
          </w:tcPr>
          <w:p w14:paraId="090B49A3">
            <w:pPr>
              <w:rPr>
                <w:rFonts w:hint="eastAsia"/>
              </w:rPr>
            </w:pPr>
          </w:p>
        </w:tc>
      </w:tr>
      <w:tr w14:paraId="6A57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06A7F9FE">
            <w:r>
              <w:rPr>
                <w:rFonts w:hint="eastAsia"/>
              </w:rPr>
              <w:t>4</w:t>
            </w:r>
          </w:p>
        </w:tc>
        <w:tc>
          <w:tcPr>
            <w:tcW w:w="1462" w:type="dxa"/>
          </w:tcPr>
          <w:p w14:paraId="2EF7C7D0">
            <w:r>
              <w:rPr>
                <w:rFonts w:hint="eastAsia"/>
              </w:rPr>
              <w:t>铅衣平铺柜</w:t>
            </w:r>
          </w:p>
        </w:tc>
        <w:tc>
          <w:tcPr>
            <w:tcW w:w="3506" w:type="dxa"/>
          </w:tcPr>
          <w:p w14:paraId="5F751E85">
            <w:pPr>
              <w:jc w:val="left"/>
            </w:pPr>
            <w:r>
              <w:rPr>
                <w:rFonts w:hint="eastAsia"/>
                <w:lang w:val="en-US" w:eastAsia="zh-CN"/>
              </w:rPr>
              <w:t>760*750*1580mm，抽屉内高：11cm，侧面带平铺板。</w:t>
            </w:r>
            <w:r>
              <w:rPr>
                <w:rFonts w:hint="eastAsia"/>
              </w:rPr>
              <w:t>底部配75脚轮（两只刹车轮，两只转向轮）</w:t>
            </w:r>
          </w:p>
        </w:tc>
        <w:tc>
          <w:tcPr>
            <w:tcW w:w="713" w:type="dxa"/>
          </w:tcPr>
          <w:p w14:paraId="1F63EAF1">
            <w:r>
              <w:rPr>
                <w:rFonts w:hint="eastAsia"/>
                <w:lang w:val="en-US" w:eastAsia="zh-CN"/>
              </w:rPr>
              <w:t>10</w:t>
            </w:r>
            <w:r>
              <w:rPr>
                <w:rFonts w:hint="eastAsia"/>
              </w:rPr>
              <w:t>个</w:t>
            </w:r>
          </w:p>
        </w:tc>
        <w:tc>
          <w:tcPr>
            <w:tcW w:w="725" w:type="dxa"/>
          </w:tcPr>
          <w:p w14:paraId="3374D4C4"/>
        </w:tc>
        <w:tc>
          <w:tcPr>
            <w:tcW w:w="962" w:type="dxa"/>
          </w:tcPr>
          <w:p w14:paraId="497F9B23"/>
        </w:tc>
        <w:tc>
          <w:tcPr>
            <w:tcW w:w="1217" w:type="dxa"/>
          </w:tcPr>
          <w:p w14:paraId="2FEBA3CB"/>
        </w:tc>
      </w:tr>
    </w:tbl>
    <w:p w14:paraId="28AFEBC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ascii="宋体" w:hAnsi="宋体" w:eastAsia="宋体" w:cs="宋体"/>
          <w:b/>
          <w:bCs/>
          <w:i w:val="0"/>
          <w:iCs w:val="0"/>
          <w:caps w:val="0"/>
          <w:color w:val="404040"/>
          <w:spacing w:val="0"/>
          <w:sz w:val="24"/>
          <w:szCs w:val="24"/>
          <w:highlight w:val="none"/>
          <w:lang w:val="en-US" w:eastAsia="zh-CN"/>
        </w:rPr>
      </w:pPr>
      <w:r>
        <w:rPr>
          <w:rFonts w:hint="eastAsia" w:ascii="宋体" w:hAnsi="宋体" w:eastAsia="宋体" w:cs="宋体"/>
          <w:b/>
          <w:bCs/>
          <w:i w:val="0"/>
          <w:iCs w:val="0"/>
          <w:caps w:val="0"/>
          <w:color w:val="404040"/>
          <w:spacing w:val="0"/>
          <w:sz w:val="24"/>
          <w:szCs w:val="24"/>
          <w:highlight w:val="none"/>
          <w:lang w:val="en-US" w:eastAsia="zh-CN"/>
        </w:rPr>
        <w:t>说明：以上报价已包含货物、运输、安装、调试、保险、税金等直至产品验收合格交付甲方能正常使用。</w:t>
      </w:r>
    </w:p>
    <w:p w14:paraId="6A5765D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eastAsia="宋体" w:cs="宋体"/>
          <w:b/>
          <w:bCs/>
          <w:i w:val="0"/>
          <w:iCs w:val="0"/>
          <w:caps w:val="0"/>
          <w:color w:val="404040"/>
          <w:spacing w:val="0"/>
          <w:sz w:val="24"/>
          <w:szCs w:val="24"/>
          <w:highlight w:val="none"/>
          <w:lang w:val="en-US" w:eastAsia="zh-CN"/>
        </w:rPr>
      </w:pPr>
      <w:r>
        <w:rPr>
          <w:rFonts w:hint="eastAsia" w:eastAsia="宋体" w:cs="宋体"/>
          <w:b/>
          <w:bCs/>
          <w:i w:val="0"/>
          <w:iCs w:val="0"/>
          <w:caps w:val="0"/>
          <w:color w:val="404040"/>
          <w:spacing w:val="0"/>
          <w:sz w:val="24"/>
          <w:szCs w:val="24"/>
          <w:highlight w:val="none"/>
          <w:lang w:val="en-US" w:eastAsia="zh-CN"/>
        </w:rPr>
        <w:t>图样：仅供参考</w:t>
      </w:r>
    </w:p>
    <w:p w14:paraId="4F3983D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eastAsia="宋体" w:cs="宋体"/>
          <w:b/>
          <w:bCs/>
          <w:i w:val="0"/>
          <w:iCs w:val="0"/>
          <w:caps w:val="0"/>
          <w:color w:val="404040"/>
          <w:spacing w:val="0"/>
          <w:sz w:val="24"/>
          <w:szCs w:val="24"/>
          <w:highlight w:val="none"/>
          <w:lang w:val="en-US" w:eastAsia="zh-CN"/>
        </w:rPr>
      </w:pPr>
      <w:r>
        <w:rPr>
          <w:rFonts w:hint="eastAsia" w:eastAsia="宋体" w:cs="宋体"/>
          <w:b/>
          <w:bCs/>
          <w:i w:val="0"/>
          <w:iCs w:val="0"/>
          <w:caps w:val="0"/>
          <w:color w:val="404040"/>
          <w:spacing w:val="0"/>
          <w:sz w:val="24"/>
          <w:szCs w:val="24"/>
          <w:highlight w:val="none"/>
          <w:lang w:val="en-US" w:eastAsia="zh-CN"/>
        </w:rPr>
        <w:t>铅屏风（抽拉式）：</w:t>
      </w:r>
    </w:p>
    <w:p w14:paraId="48FBEE6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default" w:eastAsia="宋体" w:cs="宋体"/>
          <w:b/>
          <w:bCs/>
          <w:i w:val="0"/>
          <w:iCs w:val="0"/>
          <w:caps w:val="0"/>
          <w:color w:val="404040"/>
          <w:spacing w:val="0"/>
          <w:sz w:val="24"/>
          <w:szCs w:val="24"/>
          <w:highlight w:val="none"/>
          <w:lang w:val="en-US" w:eastAsia="zh-CN"/>
        </w:rPr>
      </w:pPr>
      <w:r>
        <w:rPr>
          <w:rFonts w:hint="default" w:eastAsia="宋体" w:cs="宋体"/>
          <w:b/>
          <w:bCs/>
          <w:i w:val="0"/>
          <w:iCs w:val="0"/>
          <w:caps w:val="0"/>
          <w:color w:val="404040"/>
          <w:spacing w:val="0"/>
          <w:sz w:val="24"/>
          <w:szCs w:val="24"/>
          <w:highlight w:val="none"/>
          <w:lang w:val="en-US" w:eastAsia="zh-CN"/>
        </w:rPr>
        <w:drawing>
          <wp:inline distT="0" distB="0" distL="114300" distR="114300">
            <wp:extent cx="5266690" cy="2962910"/>
            <wp:effectExtent l="0" t="0" r="10160" b="8890"/>
            <wp:docPr id="3" name="图片 3" descr="e2f50e7eb7d858da6eec9bd394b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2f50e7eb7d858da6eec9bd394b0983"/>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14:paraId="1A583D08">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eastAsia="宋体" w:cs="宋体"/>
          <w:b/>
          <w:bCs/>
          <w:i w:val="0"/>
          <w:iCs w:val="0"/>
          <w:caps w:val="0"/>
          <w:color w:val="404040"/>
          <w:spacing w:val="0"/>
          <w:sz w:val="24"/>
          <w:szCs w:val="24"/>
          <w:highlight w:val="none"/>
          <w:lang w:val="en-US" w:eastAsia="zh-CN"/>
        </w:rPr>
      </w:pPr>
      <w:r>
        <w:rPr>
          <w:rFonts w:hint="eastAsia" w:eastAsia="宋体" w:cs="宋体"/>
          <w:b/>
          <w:bCs/>
          <w:i w:val="0"/>
          <w:iCs w:val="0"/>
          <w:caps w:val="0"/>
          <w:color w:val="404040"/>
          <w:spacing w:val="0"/>
          <w:sz w:val="24"/>
          <w:szCs w:val="24"/>
          <w:highlight w:val="none"/>
          <w:lang w:val="en-US" w:eastAsia="zh-CN"/>
        </w:rPr>
        <w:t>铅衣平铺柜：</w:t>
      </w:r>
    </w:p>
    <w:p w14:paraId="5EC2409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default" w:eastAsia="宋体" w:cs="宋体"/>
          <w:b/>
          <w:bCs/>
          <w:i w:val="0"/>
          <w:iCs w:val="0"/>
          <w:caps w:val="0"/>
          <w:color w:val="404040"/>
          <w:spacing w:val="0"/>
          <w:sz w:val="24"/>
          <w:szCs w:val="24"/>
          <w:highlight w:val="none"/>
          <w:lang w:val="en-US" w:eastAsia="zh-CN"/>
        </w:rPr>
      </w:pPr>
      <w:r>
        <w:drawing>
          <wp:inline distT="0" distB="0" distL="114300" distR="114300">
            <wp:extent cx="4622165" cy="4797425"/>
            <wp:effectExtent l="0" t="0" r="698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22165" cy="4797425"/>
                    </a:xfrm>
                    <a:prstGeom prst="rect">
                      <a:avLst/>
                    </a:prstGeom>
                    <a:noFill/>
                    <a:ln>
                      <a:noFill/>
                    </a:ln>
                  </pic:spPr>
                </pic:pic>
              </a:graphicData>
            </a:graphic>
          </wp:inline>
        </w:drawing>
      </w:r>
    </w:p>
    <w:p w14:paraId="1CC1696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ascii="宋体" w:hAnsi="宋体" w:eastAsia="宋体" w:cs="宋体"/>
          <w:b/>
          <w:bCs/>
          <w:i w:val="0"/>
          <w:iCs w:val="0"/>
          <w:caps w:val="0"/>
          <w:color w:val="404040"/>
          <w:spacing w:val="0"/>
          <w:sz w:val="24"/>
          <w:szCs w:val="24"/>
          <w:highlight w:val="none"/>
          <w:lang w:val="en-US" w:eastAsia="zh-CN"/>
        </w:rPr>
      </w:pPr>
      <w:r>
        <w:rPr>
          <w:rFonts w:hint="eastAsia" w:ascii="宋体" w:hAnsi="宋体" w:eastAsia="宋体" w:cs="宋体"/>
          <w:b/>
          <w:bCs/>
          <w:i w:val="0"/>
          <w:iCs w:val="0"/>
          <w:caps w:val="0"/>
          <w:color w:val="404040"/>
          <w:spacing w:val="0"/>
          <w:sz w:val="24"/>
          <w:szCs w:val="24"/>
          <w:highlight w:val="none"/>
          <w:lang w:val="en-US" w:eastAsia="zh-CN"/>
        </w:rPr>
        <w:t>三、商务条件</w:t>
      </w:r>
    </w:p>
    <w:p w14:paraId="7813E5E3">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1、交付地点：福建医科大学附属协和医院（含于山院区和旗山院区）。</w:t>
      </w:r>
    </w:p>
    <w:p w14:paraId="7CEC896A">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2、交付时间：合同签订后3天内开始供货，15天内供货完成。</w:t>
      </w:r>
    </w:p>
    <w:p w14:paraId="5B5AFCD6">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3、交付条件：经采购人验收合格。</w:t>
      </w:r>
    </w:p>
    <w:p w14:paraId="0A3FB734">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4、是否收取履约保证金： 否</w:t>
      </w:r>
    </w:p>
    <w:p w14:paraId="3270CA59">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5、验收方式数据表格</w:t>
      </w:r>
    </w:p>
    <w:tbl>
      <w:tblPr>
        <w:tblStyle w:val="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64"/>
        <w:gridCol w:w="6658"/>
      </w:tblGrid>
      <w:tr w14:paraId="595564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14:paraId="47D43EB7">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FFFFFF"/>
            <w:vAlign w:val="center"/>
          </w:tcPr>
          <w:p w14:paraId="0B41F830">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验收期次说明</w:t>
            </w:r>
          </w:p>
        </w:tc>
      </w:tr>
      <w:tr w14:paraId="7C0718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425D58">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DE73541">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中标人分批供货，并供货完成。在此期间临床科室如有问题需按要求解决。</w:t>
            </w:r>
          </w:p>
        </w:tc>
      </w:tr>
    </w:tbl>
    <w:p w14:paraId="278939CE">
      <w:pPr>
        <w:numPr>
          <w:ilvl w:val="0"/>
          <w:numId w:val="0"/>
        </w:numPr>
        <w:spacing w:line="240" w:lineRule="auto"/>
        <w:ind w:firstLine="420" w:firstLineChars="0"/>
        <w:rPr>
          <w:rFonts w:hint="eastAsia" w:ascii="宋体" w:hAnsi="宋体" w:eastAsia="宋体" w:cs="宋体"/>
          <w:sz w:val="24"/>
          <w:szCs w:val="24"/>
          <w:lang w:val="en-US" w:eastAsia="zh-CN"/>
        </w:rPr>
      </w:pPr>
    </w:p>
    <w:p w14:paraId="2B398921">
      <w:pPr>
        <w:numPr>
          <w:ilvl w:val="0"/>
          <w:numId w:val="1"/>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支付方式数据表格</w:t>
      </w:r>
    </w:p>
    <w:tbl>
      <w:tblPr>
        <w:tblStyle w:val="8"/>
        <w:tblW w:w="5109"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32"/>
        <w:gridCol w:w="1418"/>
        <w:gridCol w:w="5668"/>
      </w:tblGrid>
      <w:tr w14:paraId="292C30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Header/>
          <w:tblCellSpacing w:w="0" w:type="dxa"/>
        </w:trPr>
        <w:tc>
          <w:tcPr>
            <w:tcW w:w="841" w:type="pct"/>
            <w:shd w:val="clear" w:color="auto" w:fill="FFFFFF"/>
            <w:vAlign w:val="center"/>
          </w:tcPr>
          <w:p w14:paraId="039518ED">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支付期次</w:t>
            </w:r>
          </w:p>
        </w:tc>
        <w:tc>
          <w:tcPr>
            <w:tcW w:w="832" w:type="pct"/>
            <w:shd w:val="clear" w:color="auto" w:fill="FFFFFF"/>
            <w:vAlign w:val="center"/>
          </w:tcPr>
          <w:p w14:paraId="47960C2F">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支付比例(%)</w:t>
            </w:r>
          </w:p>
        </w:tc>
        <w:tc>
          <w:tcPr>
            <w:tcW w:w="3326" w:type="pct"/>
            <w:shd w:val="clear" w:color="auto" w:fill="FFFFFF"/>
            <w:vAlign w:val="center"/>
          </w:tcPr>
          <w:p w14:paraId="01321C69">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支付期次说明</w:t>
            </w:r>
          </w:p>
        </w:tc>
      </w:tr>
      <w:tr w14:paraId="3A358C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841" w:type="pct"/>
            <w:shd w:val="clear" w:color="auto" w:fill="FFFFFF"/>
            <w:vAlign w:val="center"/>
          </w:tcPr>
          <w:p w14:paraId="16EAF58D">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p>
        </w:tc>
        <w:tc>
          <w:tcPr>
            <w:tcW w:w="832" w:type="pct"/>
            <w:shd w:val="clear" w:color="auto" w:fill="FFFFFF"/>
            <w:vAlign w:val="center"/>
          </w:tcPr>
          <w:p w14:paraId="4E065ACB">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100</w:t>
            </w:r>
          </w:p>
        </w:tc>
        <w:tc>
          <w:tcPr>
            <w:tcW w:w="3326" w:type="pct"/>
            <w:shd w:val="clear" w:color="auto" w:fill="FFFFFF"/>
            <w:vAlign w:val="center"/>
          </w:tcPr>
          <w:p w14:paraId="67B5C381">
            <w:pPr>
              <w:widowControl/>
              <w:jc w:val="left"/>
              <w:rPr>
                <w:rFonts w:cs="宋体" w:asciiTheme="minorEastAsia" w:hAnsiTheme="minorEastAsia" w:eastAsiaTheme="minorEastAsia"/>
                <w:color w:val="auto"/>
                <w:kern w:val="0"/>
                <w:sz w:val="24"/>
              </w:rPr>
            </w:pPr>
            <w:r>
              <w:rPr>
                <w:rFonts w:hint="eastAsia" w:ascii="宋体" w:hAnsi="宋体" w:eastAsia="宋体" w:cs="宋体"/>
                <w:color w:val="auto"/>
                <w:kern w:val="0"/>
                <w:sz w:val="24"/>
                <w:szCs w:val="24"/>
                <w:lang w:val="en-US" w:eastAsia="zh-CN" w:bidi="ar-SA"/>
              </w:rPr>
              <w:t>全部货物最终验收合格后，甲方凭乙方开具的与支付金额等额的有效增值税发票、验收合格文件等材料，按医院付款流程在60日内以对公转账方式支付货款。</w:t>
            </w:r>
          </w:p>
        </w:tc>
      </w:tr>
    </w:tbl>
    <w:p w14:paraId="2717D3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420" w:firstLineChars="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标人提供与采购人付款金额等额且被采购人所在地税务部门认可的合法有效的增值税发票，采购人收到发票后遵循本院管理制度与规范付款，否则采购人有权拒绝付款且不承担违约责任，中标人不得以此为由拒绝履行本合同项下的义务。</w:t>
      </w:r>
    </w:p>
    <w:p w14:paraId="50D22E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7</w:t>
      </w:r>
      <w:r>
        <w:rPr>
          <w:rFonts w:hint="eastAsia" w:ascii="宋体" w:hAnsi="宋体" w:eastAsia="宋体" w:cs="宋体"/>
          <w:kern w:val="0"/>
          <w:sz w:val="24"/>
          <w:szCs w:val="24"/>
          <w:lang w:val="en-US" w:eastAsia="zh-CN"/>
        </w:rPr>
        <w:t>、货物包装方式</w:t>
      </w:r>
    </w:p>
    <w:p w14:paraId="40E039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7</w:t>
      </w:r>
      <w:r>
        <w:rPr>
          <w:rFonts w:hint="eastAsia" w:ascii="宋体" w:hAnsi="宋体" w:eastAsia="宋体" w:cs="宋体"/>
          <w:kern w:val="0"/>
          <w:sz w:val="24"/>
          <w:szCs w:val="24"/>
          <w:lang w:val="en-US" w:eastAsia="zh-CN"/>
        </w:rPr>
        <w:t>.1包装：交货时应按国家有关标准要求进行包装。</w:t>
      </w:r>
    </w:p>
    <w:p w14:paraId="00C72C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7</w:t>
      </w:r>
      <w:r>
        <w:rPr>
          <w:rFonts w:hint="eastAsia" w:ascii="宋体" w:hAnsi="宋体" w:eastAsia="宋体" w:cs="宋体"/>
          <w:kern w:val="0"/>
          <w:sz w:val="24"/>
          <w:szCs w:val="24"/>
          <w:lang w:val="en-US" w:eastAsia="zh-CN"/>
        </w:rPr>
        <w:t>.2方式：包装必须与运输方式相适应，包装方式的确定及包装费用均由中标人负责；由于不适当的包装而造成货物在运输过程中有任何损坏由中标人负责。</w:t>
      </w:r>
    </w:p>
    <w:p w14:paraId="29E9E9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注：包装应足以承受整个过程中的运输、转运、装卸、储存等，充分考虑到运输途中的各种情况(如暴露于恶劣气候等)和项目所在地的气候特点，以及露天存放的需要。</w:t>
      </w:r>
    </w:p>
    <w:p w14:paraId="7DCBD5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8</w:t>
      </w:r>
      <w:r>
        <w:rPr>
          <w:rFonts w:hint="eastAsia" w:ascii="宋体" w:hAnsi="宋体" w:eastAsia="宋体" w:cs="宋体"/>
          <w:kern w:val="0"/>
          <w:sz w:val="24"/>
          <w:szCs w:val="24"/>
          <w:lang w:val="en-US" w:eastAsia="zh-CN"/>
        </w:rPr>
        <w:t>、验收标准：</w:t>
      </w:r>
    </w:p>
    <w:p w14:paraId="4D3BE1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8</w:t>
      </w:r>
      <w:r>
        <w:rPr>
          <w:rFonts w:hint="eastAsia" w:ascii="宋体" w:hAnsi="宋体" w:eastAsia="宋体" w:cs="宋体"/>
          <w:kern w:val="0"/>
          <w:sz w:val="24"/>
          <w:szCs w:val="24"/>
          <w:lang w:val="en-US" w:eastAsia="zh-CN"/>
        </w:rPr>
        <w:t>.1.中标人如有调换产品，降低产品等级标准或提供存在质量缺陷产品，采购人有权责令中标人在规定的时间内更换质量达标产品。中标人如有以少充多，以劣充优，以假充真的，采购人有权利不予验收，造成的一切后果由中标人自行承担。</w:t>
      </w:r>
    </w:p>
    <w:p w14:paraId="48A3EA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8</w:t>
      </w:r>
      <w:r>
        <w:rPr>
          <w:rFonts w:hint="eastAsia" w:ascii="宋体" w:hAnsi="宋体" w:eastAsia="宋体" w:cs="宋体"/>
          <w:kern w:val="0"/>
          <w:sz w:val="24"/>
          <w:szCs w:val="24"/>
          <w:lang w:val="en-US" w:eastAsia="zh-CN"/>
        </w:rPr>
        <w:t>.2检验标准：产品质量应达到设计要求，招标文件及合同中要求的所有配置应符合要求；安装调试各项指标和技术参数应符合招标文件规定的技术要求和有关验收标准要求。计量设备应能通过计量部门的验收。所有产品必须是原装包装，产品外观应无破损、裂缝和缺陷且标识清晰。若发现原包装破损或保修条款不满足要求，采购人有权不予接收，并要求中标人无条件免费重新更换，并按合同条款的有关规定执行。</w:t>
      </w:r>
    </w:p>
    <w:p w14:paraId="31C37C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、违约责任</w:t>
      </w:r>
    </w:p>
    <w:p w14:paraId="04AACD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.1 如乙方不按规定与甲方签订合同，视为该乙方自动放弃中标资格，由此给甲方造成损失的，乙方应赔偿甲方所受的损失。</w:t>
      </w:r>
    </w:p>
    <w:p w14:paraId="41AB20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2在签订采购合同之后，有下列情形之一的，将视为乙方违约，甲方有权从履约保证金中取得补偿（如有提交履约保证金的），违约金不足以弥补甲方损失的，甲方可进一步提出追索和索赔：（1）签订合同后，乙方未按合同规定提供服务的。（2）乙方逾期交付的，每逾期一天，按合同总金额的3‰支付违约金，违约金累计计算。（3）乙方逾期提供服务超30天，甲方有权单方解除或提前终止本合同。（4）乙方未能按本合同约定履行其义务的。（5）在签订采购合同之后，乙方要求解除本合同的。</w:t>
      </w:r>
    </w:p>
    <w:p w14:paraId="252A71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.3甲方无正当理由未能按本合同要求时间支付项目款项的，每逾期一天，按逾期金额的万分之一支付违约金，但乙方不得以此为由拒绝履行本合同项下的义务。逾期超过90天，乙方有权终止本合同。</w:t>
      </w:r>
    </w:p>
    <w:p w14:paraId="4899D7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.4 除本合同另有约定外，如乙方违反本合同约定义务且在甲方书面通知后仍无法在书面通知上载明的时限内纠正违约行为或过错行为的，甲方有权单方解除本合同。</w:t>
      </w:r>
    </w:p>
    <w:p w14:paraId="7BB334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.5因乙方原因发生重大质量事故，除依约承担赔偿责任外，还将按有关质量管理办法规定执行。同时，甲方有权单方解除本合同，保留更换中标人的权利。</w:t>
      </w:r>
    </w:p>
    <w:p w14:paraId="30D4C7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.6因乙方原因发生重大安全事故或特大安全事故，除按国家有关安全管理规定及甲方有关安全管理办法执行外，甲方有权提前终止本合同，给甲方造成的损失，还应承担赔偿责任。</w:t>
      </w:r>
    </w:p>
    <w:p w14:paraId="406966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.7 因乙方原因导致甲方单方解除或提前终止本合同的，甲方有权拒绝向乙方支付任何款项，乙方应退还给甲方已支付的所有款项，并向甲方支付相当于合同总金额20%的违约金。若非乙方原因导致合同解除的，乙方有权就已完成的履约部分收取相应合同款项。</w:t>
      </w:r>
    </w:p>
    <w:p w14:paraId="3362D8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404040"/>
          <w:spacing w:val="0"/>
          <w:kern w:val="0"/>
          <w:sz w:val="24"/>
          <w:szCs w:val="24"/>
          <w:highlight w:val="none"/>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.8因乙方违约，甲方为实现债权及甲方为行使解除权而产生的一切费用（包括但不限于诉讼费或仲裁费、律师费、财产保全费、评估鉴定费、执行费、拍卖费、差旅费等）均由乙方承担。</w:t>
      </w:r>
    </w:p>
    <w:p w14:paraId="0100E5B3">
      <w:pPr>
        <w:numPr>
          <w:ilvl w:val="0"/>
          <w:numId w:val="0"/>
        </w:numPr>
        <w:jc w:val="both"/>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Segoe UI"/>
    <w:panose1 w:val="00000000000000000000"/>
    <w:charset w:val="00"/>
    <w:family w:val="swiss"/>
    <w:pitch w:val="default"/>
    <w:sig w:usb0="00000000" w:usb1="00000000" w:usb2="00000028" w:usb3="00000000" w:csb0="0000019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DB391"/>
    <w:multiLevelType w:val="singleLevel"/>
    <w:tmpl w:val="A3FDB391"/>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OTNiNTBhMjY0NmY3YTMzODk0NjY1ZjA5Y2ZkZWEifQ=="/>
  </w:docVars>
  <w:rsids>
    <w:rsidRoot w:val="00000000"/>
    <w:rsid w:val="0145130D"/>
    <w:rsid w:val="03913E39"/>
    <w:rsid w:val="09BE6112"/>
    <w:rsid w:val="0A3B7763"/>
    <w:rsid w:val="0C3608C4"/>
    <w:rsid w:val="0D7D6CFA"/>
    <w:rsid w:val="17523A86"/>
    <w:rsid w:val="1CDB1537"/>
    <w:rsid w:val="20FC5674"/>
    <w:rsid w:val="230406E1"/>
    <w:rsid w:val="269175E9"/>
    <w:rsid w:val="29651C0D"/>
    <w:rsid w:val="2BC453B2"/>
    <w:rsid w:val="2FFB7287"/>
    <w:rsid w:val="32A55811"/>
    <w:rsid w:val="35B27D87"/>
    <w:rsid w:val="38A43ED1"/>
    <w:rsid w:val="3C1A2DCC"/>
    <w:rsid w:val="45EE5A3B"/>
    <w:rsid w:val="4ED65279"/>
    <w:rsid w:val="5573796A"/>
    <w:rsid w:val="56262CB0"/>
    <w:rsid w:val="57824796"/>
    <w:rsid w:val="5D6427D6"/>
    <w:rsid w:val="610417D1"/>
    <w:rsid w:val="65476131"/>
    <w:rsid w:val="66ED3792"/>
    <w:rsid w:val="6711452F"/>
    <w:rsid w:val="68230C63"/>
    <w:rsid w:val="6F1562FA"/>
    <w:rsid w:val="6F297B74"/>
    <w:rsid w:val="780E07AA"/>
    <w:rsid w:val="79BC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300" w:after="150"/>
      <w:jc w:val="left"/>
      <w:outlineLvl w:val="0"/>
    </w:pPr>
    <w:rPr>
      <w:rFonts w:ascii="Open Sans" w:hAnsi="Open Sans" w:eastAsia="宋体" w:cs="宋体"/>
      <w:kern w:val="36"/>
      <w:sz w:val="48"/>
      <w:szCs w:val="4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rPr>
      <w:rFonts w:hint="eastAsia"/>
      <w:b/>
      <w:sz w:val="24"/>
    </w:rPr>
  </w:style>
  <w:style w:type="paragraph" w:styleId="4">
    <w:name w:val="Plain Text"/>
    <w:basedOn w:val="1"/>
    <w:qFormat/>
    <w:uiPriority w:val="0"/>
    <w:rPr>
      <w:rFonts w:ascii="宋体" w:hAnsi="Courier New" w:eastAsia="宋体" w:cs="Courier New"/>
      <w:sz w:val="24"/>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0"/>
    <w:pPr>
      <w:spacing w:before="240" w:after="60"/>
      <w:jc w:val="center"/>
      <w:textAlignment w:val="baseline"/>
    </w:pPr>
    <w:rPr>
      <w:rFonts w:ascii="Cambria" w:hAnsi="Cambria" w:cs="Times New Roman"/>
      <w:b/>
      <w:bCs/>
      <w:kern w:val="2"/>
      <w:sz w:val="32"/>
      <w:szCs w:val="32"/>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2072</Words>
  <Characters>2202</Characters>
  <Lines>0</Lines>
  <Paragraphs>0</Paragraphs>
  <TotalTime>2</TotalTime>
  <ScaleCrop>false</ScaleCrop>
  <LinksUpToDate>false</LinksUpToDate>
  <CharactersWithSpaces>2210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2024-07-24T02:35:00Z</dcterms:created>
  <dc:creator>30913</dc:creator>
  <cp:lastModifiedBy>Growl - </cp:lastModifiedBy>
  <dcterms:modified xsi:type="dcterms:W3CDTF">2024-08-05T09:39:59Z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7ED7379A2D39465A855F746B59059DCE_12</vt:lpwstr>
  </property>
</Properties>
</file>